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117FE35" w14:textId="17456595" w:rsidR="00246E68" w:rsidRPr="00B20B8A" w:rsidRDefault="00000000">
      <w:pPr>
        <w:pStyle w:val="P68B1DB1-PlainText1"/>
        <w:rPr>
          <w:vanish w:val="0"/>
          <w:lang w:val="es-ES"/>
        </w:rPr>
      </w:pPr>
      <w:proofErr w:type="spellStart"/>
      <w:r w:rsidRPr="00B20B8A">
        <w:rPr>
          <w:vanish w:val="0"/>
          <w:lang w:val="es-ES"/>
        </w:rPr>
        <w:t>Symptoms</w:t>
      </w:r>
      <w:proofErr w:type="spellEnd"/>
    </w:p>
    <w:p w14:paraId="70803462" w14:textId="77777777" w:rsidR="00246E68" w:rsidRPr="00B20B8A" w:rsidRDefault="00246E68">
      <w:pPr>
        <w:pStyle w:val="PlainText"/>
        <w:rPr>
          <w:rFonts w:ascii="Courier New" w:hAnsi="Courier New" w:cs="Courier New"/>
          <w:lang w:val="es-ES"/>
        </w:rPr>
      </w:pPr>
    </w:p>
    <w:p w14:paraId="01667A7B" w14:textId="77777777" w:rsidR="00246E68" w:rsidRPr="00B20B8A" w:rsidRDefault="00000000">
      <w:pPr>
        <w:pStyle w:val="P68B1DB1-PlainText2"/>
        <w:rPr>
          <w:lang w:val="es-ES"/>
        </w:rPr>
      </w:pPr>
      <w:r w:rsidRPr="00B20B8A">
        <w:rPr>
          <w:lang w:val="es-ES"/>
        </w:rPr>
        <w:t xml:space="preserve">ORADOR: </w:t>
      </w:r>
      <w:proofErr w:type="spellStart"/>
      <w:r w:rsidRPr="00B20B8A">
        <w:rPr>
          <w:lang w:val="es-ES"/>
        </w:rPr>
        <w:t>Gert</w:t>
      </w:r>
      <w:proofErr w:type="spellEnd"/>
      <w:r w:rsidRPr="00B20B8A">
        <w:rPr>
          <w:lang w:val="es-ES"/>
        </w:rPr>
        <w:t xml:space="preserve"> Mayer</w:t>
      </w:r>
    </w:p>
    <w:p w14:paraId="6B088333" w14:textId="77777777" w:rsidR="00246E68" w:rsidRPr="00B20B8A" w:rsidRDefault="00246E68">
      <w:pPr>
        <w:pStyle w:val="PlainText"/>
        <w:rPr>
          <w:rFonts w:ascii="Courier New" w:hAnsi="Courier New" w:cs="Courier New"/>
          <w:lang w:val="es-ES"/>
        </w:rPr>
      </w:pPr>
    </w:p>
    <w:p w14:paraId="0885023B" w14:textId="23BDAA88" w:rsidR="00246E68" w:rsidRPr="00B20B8A" w:rsidRDefault="00000000">
      <w:pPr>
        <w:pStyle w:val="P68B1DB1-defaultparagraph3"/>
        <w:contextualSpacing w:val="0"/>
        <w:jc w:val="left"/>
        <w:rPr>
          <w:szCs w:val="21"/>
          <w:lang w:val="es-ES"/>
        </w:rPr>
      </w:pPr>
      <w:r w:rsidRPr="00B20B8A">
        <w:rPr>
          <w:lang w:val="es-ES"/>
        </w:rPr>
        <w:t xml:space="preserve">El siguiente tema del que hablaremos son los síntomas. El prurito asociado a la ERC es un picor sistémico que se produce en personas con enfermedad renal crónica. Como comentamos en la primera sección de este seminario web, sobre todo se ven afectadas aquellas personas con enfermedad renal terminal, excluyendo las que han recibido un trasplante. Con el trasplante, el prurito asociado a la ERC no se produce. Los pacientes que han recibido un </w:t>
      </w:r>
      <w:proofErr w:type="gramStart"/>
      <w:r w:rsidRPr="00B20B8A">
        <w:rPr>
          <w:lang w:val="es-ES"/>
        </w:rPr>
        <w:t>trasplante,</w:t>
      </w:r>
      <w:proofErr w:type="gramEnd"/>
      <w:r w:rsidRPr="00B20B8A">
        <w:rPr>
          <w:lang w:val="es-ES"/>
        </w:rPr>
        <w:t xml:space="preserve"> cada día tienen un problema diferente. Pero, con el aumento de la gravedad de la ERC, y sobre todo durante el tratamiento renal sustitutivo, es un problema muy prevalente.</w:t>
      </w:r>
    </w:p>
    <w:p w14:paraId="0395C545" w14:textId="77777777" w:rsidR="00246E68" w:rsidRPr="00B20B8A" w:rsidRDefault="00246E68">
      <w:pPr>
        <w:pStyle w:val="defaultparagraph"/>
        <w:contextualSpacing w:val="0"/>
        <w:jc w:val="left"/>
        <w:rPr>
          <w:rFonts w:ascii="Courier New" w:hAnsi="Courier New" w:cs="Courier New"/>
          <w:sz w:val="21"/>
          <w:szCs w:val="21"/>
          <w:lang w:val="es-ES"/>
        </w:rPr>
      </w:pPr>
    </w:p>
    <w:p w14:paraId="457D4E0D" w14:textId="77777777" w:rsidR="00246E68" w:rsidRPr="00B20B8A" w:rsidRDefault="00000000">
      <w:pPr>
        <w:pStyle w:val="P68B1DB1-defaultparagraph3"/>
        <w:contextualSpacing w:val="0"/>
        <w:jc w:val="left"/>
        <w:rPr>
          <w:szCs w:val="21"/>
          <w:lang w:val="es-ES"/>
        </w:rPr>
      </w:pPr>
      <w:r w:rsidRPr="00B20B8A">
        <w:rPr>
          <w:lang w:val="es-ES"/>
        </w:rPr>
        <w:t>El picor puede afectar a la piel de todo el cuerpo o solo a zonas específicas como el cuero cabelludo, la cara, la parte superior de los brazos o las nalgas. También es importante, y hay que tener esto claro:  el historial del picor es variable. Puede cambiar con el tiempo. Puede afectar a la calidad de vida, sobre todo en momentos en que el picor es intenso. Puede causar trastornos del sueño, ansiedad y depresión. Y puede ser física y emocionalmente muy agotador.</w:t>
      </w:r>
    </w:p>
    <w:p w14:paraId="66835751" w14:textId="77777777" w:rsidR="00246E68" w:rsidRPr="00B20B8A" w:rsidRDefault="00246E68">
      <w:pPr>
        <w:pStyle w:val="defaultparagraph"/>
        <w:contextualSpacing w:val="0"/>
        <w:jc w:val="left"/>
        <w:rPr>
          <w:rFonts w:ascii="Courier New" w:hAnsi="Courier New" w:cs="Courier New"/>
          <w:sz w:val="21"/>
          <w:szCs w:val="21"/>
          <w:lang w:val="es-ES"/>
        </w:rPr>
      </w:pPr>
    </w:p>
    <w:p w14:paraId="482030C5" w14:textId="77777777" w:rsidR="00246E68" w:rsidRPr="00B20B8A" w:rsidRDefault="00000000">
      <w:pPr>
        <w:pStyle w:val="P68B1DB1-defaultparagraph3"/>
        <w:contextualSpacing w:val="0"/>
        <w:jc w:val="left"/>
        <w:rPr>
          <w:szCs w:val="21"/>
          <w:lang w:val="es-ES"/>
        </w:rPr>
      </w:pPr>
      <w:r w:rsidRPr="00B20B8A">
        <w:rPr>
          <w:lang w:val="es-ES"/>
        </w:rPr>
        <w:t>El prurito afecta a las actividades diarias. Piense que ese picor hace que el paciente se rasque constantemente y que, cuando está con familiares u otras personas, ese paciente sabe que tiene marcas de arañazos por todo el cuerpo. No solo se trata de un problema que afecta al picor en sí mismo, sino que también tiene un gran efecto en las actividades diarias de nuestros pacientes.</w:t>
      </w:r>
    </w:p>
    <w:p w14:paraId="76B86CD0" w14:textId="77777777" w:rsidR="00246E68" w:rsidRPr="00B20B8A" w:rsidRDefault="00246E68">
      <w:pPr>
        <w:pStyle w:val="defaultparagraph"/>
        <w:contextualSpacing w:val="0"/>
        <w:jc w:val="left"/>
        <w:rPr>
          <w:rFonts w:ascii="Courier New" w:hAnsi="Courier New" w:cs="Courier New"/>
          <w:sz w:val="21"/>
          <w:szCs w:val="21"/>
          <w:lang w:val="es-ES"/>
        </w:rPr>
      </w:pPr>
    </w:p>
    <w:p w14:paraId="4189EA2F" w14:textId="4305A6B6" w:rsidR="00246E68" w:rsidRPr="00B20B8A" w:rsidRDefault="00000000">
      <w:pPr>
        <w:pStyle w:val="P68B1DB1-defaultparagraph3"/>
        <w:contextualSpacing w:val="0"/>
        <w:jc w:val="left"/>
        <w:rPr>
          <w:szCs w:val="21"/>
          <w:lang w:val="es-ES"/>
        </w:rPr>
      </w:pPr>
      <w:r w:rsidRPr="00B20B8A">
        <w:rPr>
          <w:lang w:val="es-ES"/>
        </w:rPr>
        <w:t xml:space="preserve">Las zonas más comúnmente afectadas son el pecho y los antebrazos, la cara y la espalda. Sin embargo, en aproximadamente el 50 % de las personas el problema es generalizado. A menudo es simétrico, pero incluso esto no es totalmente cierto, es muy personal. Hay una forma muy severa denominada </w:t>
      </w:r>
      <w:r w:rsidRPr="00B66748">
        <w:rPr>
          <w:lang w:val="es-ES"/>
        </w:rPr>
        <w:t>acnestis</w:t>
      </w:r>
      <w:r w:rsidRPr="00B20B8A">
        <w:rPr>
          <w:lang w:val="es-ES"/>
        </w:rPr>
        <w:t xml:space="preserve"> que, básicamente, se caracteriza por marcas de arañazos en todo el cuerpo, excepto entre los hombros, donde el paciente no puede llegar para rascarse. Puede ser muy devastador y un verdadero problema.</w:t>
      </w:r>
    </w:p>
    <w:p w14:paraId="4227125C" w14:textId="77777777" w:rsidR="00246E68" w:rsidRPr="00B20B8A" w:rsidRDefault="00246E68">
      <w:pPr>
        <w:pStyle w:val="defaultparagraph"/>
        <w:contextualSpacing w:val="0"/>
        <w:jc w:val="left"/>
        <w:rPr>
          <w:rFonts w:ascii="Courier New" w:hAnsi="Courier New" w:cs="Courier New"/>
          <w:sz w:val="21"/>
          <w:szCs w:val="21"/>
          <w:lang w:val="es-ES"/>
        </w:rPr>
      </w:pPr>
    </w:p>
    <w:p w14:paraId="7A3D0A1A" w14:textId="47E2DCCE" w:rsidR="00246E68" w:rsidRPr="00B20B8A" w:rsidRDefault="00000000">
      <w:pPr>
        <w:pStyle w:val="P68B1DB1-defaultparagraph3"/>
        <w:contextualSpacing w:val="0"/>
        <w:jc w:val="left"/>
        <w:rPr>
          <w:szCs w:val="21"/>
          <w:lang w:val="es-ES"/>
        </w:rPr>
      </w:pPr>
      <w:r w:rsidRPr="00B20B8A">
        <w:rPr>
          <w:lang w:val="es-ES"/>
        </w:rPr>
        <w:t xml:space="preserve">Puede ser intermitente o constante. Existe cierta relación, ya que algunos pacientes comentan que el problema sobre todo pasa en la sesión de diálisis, pero también puede pasar antes o después de la diálisis. Se agrava con los extremos de temperatura, que pueden ser de calor o frío. También con el estrés de la actividad física o en la ducha. De hecho, </w:t>
      </w:r>
      <w:r w:rsidRPr="00B20B8A">
        <w:rPr>
          <w:lang w:val="es-ES"/>
        </w:rPr>
        <w:lastRenderedPageBreak/>
        <w:t>muchos pacientes hacen justo lo contrario a lo que deberían: se duchan cuando hay picor, lo que agrava aún más el problema.</w:t>
      </w:r>
    </w:p>
    <w:p w14:paraId="1369482D" w14:textId="77777777" w:rsidR="00246E68" w:rsidRPr="00B20B8A" w:rsidRDefault="00246E68">
      <w:pPr>
        <w:pStyle w:val="defaultparagraph"/>
        <w:contextualSpacing w:val="0"/>
        <w:jc w:val="left"/>
        <w:rPr>
          <w:rFonts w:ascii="Courier New" w:hAnsi="Courier New" w:cs="Courier New"/>
          <w:sz w:val="21"/>
          <w:szCs w:val="21"/>
          <w:lang w:val="es-ES"/>
        </w:rPr>
      </w:pPr>
    </w:p>
    <w:p w14:paraId="7573E91E" w14:textId="77777777" w:rsidR="00246E68" w:rsidRPr="00B20B8A" w:rsidRDefault="00000000">
      <w:pPr>
        <w:pStyle w:val="P68B1DB1-defaultparagraph3"/>
        <w:contextualSpacing w:val="0"/>
        <w:jc w:val="left"/>
        <w:rPr>
          <w:szCs w:val="21"/>
          <w:lang w:val="es-ES"/>
        </w:rPr>
      </w:pPr>
      <w:r w:rsidRPr="00B20B8A">
        <w:rPr>
          <w:lang w:val="es-ES"/>
        </w:rPr>
        <w:t xml:space="preserve">En general, el prurito asociado a la ERC se caracteriza porque empieza sin cambios cutáneos visibles. Si primero tiene una lesión cutánea y este picor solo aparece después, debe pensar en otros diagnósticos diferenciales sobre los que hablará </w:t>
      </w:r>
      <w:proofErr w:type="spellStart"/>
      <w:r w:rsidRPr="00B20B8A">
        <w:rPr>
          <w:lang w:val="es-ES"/>
        </w:rPr>
        <w:t>Joerg</w:t>
      </w:r>
      <w:proofErr w:type="spellEnd"/>
      <w:r w:rsidRPr="00B20B8A">
        <w:rPr>
          <w:lang w:val="es-ES"/>
        </w:rPr>
        <w:t>. Sin embargo, puede asociarse a la xerosis, que es la piel seca, que se presenta en aproximadamente del 50 al 85 % de los casos, y la xerosis puede causar picor por sí misma, aunque puede agravar mucho el prurito asociado a la ERC. Volveremos a esta interacción cuando hablemos sobre el tratamiento.</w:t>
      </w:r>
    </w:p>
    <w:p w14:paraId="28616CD2" w14:textId="77777777" w:rsidR="00246E68" w:rsidRPr="00B20B8A" w:rsidRDefault="00246E68">
      <w:pPr>
        <w:pStyle w:val="defaultparagraph"/>
        <w:contextualSpacing w:val="0"/>
        <w:jc w:val="left"/>
        <w:rPr>
          <w:rFonts w:ascii="Courier New" w:hAnsi="Courier New" w:cs="Courier New"/>
          <w:sz w:val="21"/>
          <w:szCs w:val="21"/>
          <w:lang w:val="es-ES"/>
        </w:rPr>
      </w:pPr>
    </w:p>
    <w:p w14:paraId="62A58CAA" w14:textId="77777777" w:rsidR="00246E68" w:rsidRPr="00B20B8A" w:rsidRDefault="00000000">
      <w:pPr>
        <w:pStyle w:val="P68B1DB1-defaultparagraph3"/>
        <w:contextualSpacing w:val="0"/>
        <w:jc w:val="left"/>
        <w:rPr>
          <w:szCs w:val="21"/>
          <w:lang w:val="es-ES"/>
        </w:rPr>
      </w:pPr>
      <w:r w:rsidRPr="00B20B8A">
        <w:rPr>
          <w:lang w:val="es-ES"/>
        </w:rPr>
        <w:t>Generalmente, en el prurito asociado a la ERC, lo típico es que las complicaciones cutáneas secundarias como el impétigo, el prurigo nodular o las erosiones solo se produzcan como consecuencia del rascado, pero no como consecuencia de la enfermedad pruriginosa en sí misma.</w:t>
      </w:r>
    </w:p>
    <w:p w14:paraId="4DEE963F" w14:textId="77777777" w:rsidR="00246E68" w:rsidRPr="00B20B8A" w:rsidRDefault="00246E68">
      <w:pPr>
        <w:pStyle w:val="defaultparagraph"/>
        <w:contextualSpacing w:val="0"/>
        <w:jc w:val="left"/>
        <w:rPr>
          <w:rFonts w:ascii="Courier New" w:hAnsi="Courier New" w:cs="Courier New"/>
          <w:sz w:val="21"/>
          <w:szCs w:val="21"/>
          <w:lang w:val="es-ES"/>
        </w:rPr>
      </w:pPr>
    </w:p>
    <w:p w14:paraId="59AAE01E" w14:textId="71C4BF3B" w:rsidR="00246E68" w:rsidRPr="00B20B8A" w:rsidRDefault="00000000">
      <w:pPr>
        <w:pStyle w:val="P68B1DB1-defaultparagraph3"/>
        <w:contextualSpacing w:val="0"/>
        <w:jc w:val="left"/>
        <w:rPr>
          <w:szCs w:val="21"/>
          <w:lang w:val="es-ES"/>
        </w:rPr>
      </w:pPr>
      <w:r w:rsidRPr="00B20B8A">
        <w:rPr>
          <w:lang w:val="es-ES"/>
        </w:rPr>
        <w:t>Aquí puede ver los cambios cutáneos típicamente secundarios. Puede ver la pierna de este paciente en diálisis y las marcas de arañazos, estas excoriaciones en las extremidades inferiores. Hay otra imagen que le muestra un prurigo nodular en diferentes zonas. De nuevo, piense que se trata de cambios secundarios que se producen como consecuencia del prurito, pero que no son la manifestación primaria del prurito asociado a la ERC, muy importante en el diagnóstico diferencial.</w:t>
      </w:r>
    </w:p>
    <w:p w14:paraId="0B64B957" w14:textId="77777777" w:rsidR="00246E68" w:rsidRPr="00B20B8A" w:rsidRDefault="00246E68">
      <w:pPr>
        <w:rPr>
          <w:rFonts w:ascii="Courier New" w:hAnsi="Courier New" w:cs="Courier New"/>
          <w:sz w:val="21"/>
          <w:szCs w:val="21"/>
          <w:lang w:val="es-ES"/>
        </w:rPr>
      </w:pPr>
    </w:p>
    <w:p w14:paraId="44F2CAFF" w14:textId="77777777" w:rsidR="00246E68" w:rsidRPr="00B20B8A" w:rsidRDefault="00000000">
      <w:pPr>
        <w:pStyle w:val="P68B1DB1-defaultparagraph3"/>
        <w:contextualSpacing w:val="0"/>
        <w:jc w:val="left"/>
        <w:rPr>
          <w:szCs w:val="21"/>
          <w:lang w:val="es-ES"/>
        </w:rPr>
      </w:pPr>
      <w:r w:rsidRPr="00B20B8A">
        <w:rPr>
          <w:lang w:val="es-ES"/>
        </w:rPr>
        <w:t>Ahora, hablemos un poco sobre la fisiopatología de la enfermedad. En este dibujo puede ver la forma habitual en la que se perciben las señales de picor y se transmiten al sistema nervioso central. El picor es un reflejo muy profundo. Es muy importante durante el desarrollo y puede deberse a irritantes muy diferentes. Puede haber alérgenos, otros irritantes, agentes patógenos o un tacto que provoque una sensación de picor.</w:t>
      </w:r>
    </w:p>
    <w:p w14:paraId="28476A12" w14:textId="77777777" w:rsidR="00246E68" w:rsidRPr="00B20B8A" w:rsidRDefault="00246E68">
      <w:pPr>
        <w:pStyle w:val="defaultparagraph"/>
        <w:contextualSpacing w:val="0"/>
        <w:jc w:val="left"/>
        <w:rPr>
          <w:rFonts w:ascii="Courier New" w:hAnsi="Courier New" w:cs="Courier New"/>
          <w:sz w:val="21"/>
          <w:szCs w:val="21"/>
          <w:lang w:val="es-ES"/>
        </w:rPr>
      </w:pPr>
    </w:p>
    <w:p w14:paraId="2E140E74" w14:textId="77777777" w:rsidR="00246E68" w:rsidRPr="00B20B8A" w:rsidRDefault="00000000">
      <w:pPr>
        <w:pStyle w:val="P68B1DB1-defaultparagraph3"/>
        <w:contextualSpacing w:val="0"/>
        <w:jc w:val="left"/>
        <w:rPr>
          <w:szCs w:val="21"/>
          <w:lang w:val="es-ES"/>
        </w:rPr>
      </w:pPr>
      <w:r w:rsidRPr="00B20B8A">
        <w:rPr>
          <w:lang w:val="es-ES"/>
        </w:rPr>
        <w:t>Existen varios mediadores como la sustancia P, pero también muchas citoquinas que después van a la terminación nerviosa de los nervios sensoriales situados en la piel o debajo de la piel y activan esta señal de picor, que posteriormente se transmite a través de la médula espinal al sistema nervioso central y provoca el reflejo del picor.</w:t>
      </w:r>
    </w:p>
    <w:p w14:paraId="5FB73F58" w14:textId="77777777" w:rsidR="00246E68" w:rsidRPr="00B20B8A" w:rsidRDefault="00246E68">
      <w:pPr>
        <w:pStyle w:val="defaultparagraph"/>
        <w:contextualSpacing w:val="0"/>
        <w:jc w:val="left"/>
        <w:rPr>
          <w:rFonts w:ascii="Courier New" w:hAnsi="Courier New" w:cs="Courier New"/>
          <w:sz w:val="21"/>
          <w:szCs w:val="21"/>
          <w:lang w:val="es-ES"/>
        </w:rPr>
      </w:pPr>
    </w:p>
    <w:p w14:paraId="1C837165" w14:textId="142D33DA" w:rsidR="00246E68" w:rsidRPr="00B20B8A" w:rsidRDefault="00000000">
      <w:pPr>
        <w:pStyle w:val="P68B1DB1-defaultparagraph3"/>
        <w:contextualSpacing w:val="0"/>
        <w:jc w:val="left"/>
        <w:rPr>
          <w:szCs w:val="21"/>
          <w:lang w:val="es-ES"/>
        </w:rPr>
      </w:pPr>
      <w:r w:rsidRPr="00B20B8A">
        <w:rPr>
          <w:lang w:val="es-ES"/>
        </w:rPr>
        <w:t xml:space="preserve">Es importante señalar que no solo se trata de una señal química, sino que también intervienen células del sistema inmunitario como las células dendríticas, los neutrófilos o los basófilos o los eosinófilos, los </w:t>
      </w:r>
      <w:r w:rsidRPr="00B20B8A">
        <w:rPr>
          <w:lang w:val="es-ES"/>
        </w:rPr>
        <w:lastRenderedPageBreak/>
        <w:t>linfocitos Th1, Th2 y Th1/17, y sus citocinas asociadas. Todos estos estímulos diferentes con todos sus receptores implicados finalmente pueden provocar la señal de picor que se transmite al sistema nervioso central. Es un sistema realmente complejo, diseñado para mediar el picor hasta el sistema nervioso central y después provocar el rascado, que es, básicamente, un mecanismo de defensa.</w:t>
      </w:r>
    </w:p>
    <w:p w14:paraId="79A200E9" w14:textId="77777777" w:rsidR="00246E68" w:rsidRDefault="00246E68">
      <w:pPr>
        <w:rPr>
          <w:rFonts w:ascii="Courier New" w:hAnsi="Courier New" w:cs="Courier New"/>
          <w:sz w:val="21"/>
          <w:szCs w:val="21"/>
        </w:rPr>
      </w:pPr>
    </w:p>
    <w:sectPr w:rsidR="00246E68">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D22091" w14:textId="77777777" w:rsidR="001C6F35" w:rsidRDefault="001C6F35">
      <w:pPr>
        <w:spacing w:line="240" w:lineRule="auto"/>
      </w:pPr>
      <w:r>
        <w:separator/>
      </w:r>
    </w:p>
  </w:endnote>
  <w:endnote w:type="continuationSeparator" w:id="0">
    <w:p w14:paraId="6C79419E" w14:textId="77777777" w:rsidR="001C6F35" w:rsidRDefault="001C6F3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Palatino">
    <w:panose1 w:val="00000000000000000000"/>
    <w:charset w:val="4D"/>
    <w:family w:val="auto"/>
    <w:pitch w:val="variable"/>
    <w:sig w:usb0="A00002FF" w:usb1="7800205A" w:usb2="14600000" w:usb3="00000000" w:csb0="00000193"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10002FF" w:usb1="4000FCFF" w:usb2="00000009" w:usb3="00000000" w:csb0="0000019F" w:csb1="00000000"/>
  </w:font>
  <w:font w:name="Aptos">
    <w:panose1 w:val="020B0004020202020204"/>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8D517D" w14:textId="77777777" w:rsidR="00246E68" w:rsidRDefault="00246E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88561" w14:textId="77777777" w:rsidR="00246E68" w:rsidRDefault="00246E6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A1309" w14:textId="77777777" w:rsidR="00246E68" w:rsidRDefault="00246E6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DF1DE9" w14:textId="77777777" w:rsidR="001C6F35" w:rsidRDefault="001C6F35">
      <w:pPr>
        <w:spacing w:line="240" w:lineRule="auto"/>
      </w:pPr>
      <w:r>
        <w:separator/>
      </w:r>
    </w:p>
  </w:footnote>
  <w:footnote w:type="continuationSeparator" w:id="0">
    <w:p w14:paraId="4DB3078D" w14:textId="77777777" w:rsidR="001C6F35" w:rsidRDefault="001C6F3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7D85FC" w14:textId="77777777" w:rsidR="00246E68" w:rsidRDefault="00246E6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AD104" w14:textId="77777777" w:rsidR="00246E68" w:rsidRDefault="00246E6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15300" w14:textId="77777777" w:rsidR="00246E68" w:rsidRDefault="00246E68"/>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D819DA"/>
    <w:rsid w:val="00090A29"/>
    <w:rsid w:val="001C6F35"/>
    <w:rsid w:val="001D734E"/>
    <w:rsid w:val="00210AED"/>
    <w:rsid w:val="00246E68"/>
    <w:rsid w:val="00425705"/>
    <w:rsid w:val="0051621F"/>
    <w:rsid w:val="00705D37"/>
    <w:rsid w:val="0079720C"/>
    <w:rsid w:val="007A5103"/>
    <w:rsid w:val="008210E6"/>
    <w:rsid w:val="00AB4B63"/>
    <w:rsid w:val="00B20B8A"/>
    <w:rsid w:val="00B66748"/>
    <w:rsid w:val="00D11253"/>
    <w:rsid w:val="00D819DA"/>
    <w:rsid w:val="00D936A7"/>
    <w:rsid w:val="00E117D5"/>
    <w:rsid w:val="00FE0A04"/>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21CA6C"/>
  <w15:docId w15:val="{917821A9-5FD8-2543-B6D2-7CF96A6A3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color w:val="333333"/>
        <w:lang w:val="en-GB" w:eastAsia="en-GB" w:bidi="ar-SA"/>
      </w:rPr>
    </w:rPrDefault>
    <w:pPrDefault>
      <w:pPr>
        <w:spacing w:line="32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spacing w:after="120"/>
      <w:contextualSpacing/>
      <w:outlineLvl w:val="0"/>
    </w:pPr>
    <w:rPr>
      <w:rFonts w:ascii="Palatino" w:eastAsia="Palatino" w:hAnsi="Palatino" w:cs="Palatino"/>
      <w:sz w:val="36"/>
    </w:rPr>
  </w:style>
  <w:style w:type="paragraph" w:styleId="Heading2">
    <w:name w:val="heading 2"/>
    <w:basedOn w:val="Normal"/>
    <w:next w:val="Normal"/>
    <w:uiPriority w:val="9"/>
    <w:unhideWhenUsed/>
    <w:qFormat/>
    <w:pPr>
      <w:spacing w:before="120" w:after="160"/>
      <w:contextualSpacing/>
      <w:outlineLvl w:val="1"/>
    </w:pPr>
    <w:rPr>
      <w:b/>
      <w:sz w:val="26"/>
    </w:rPr>
  </w:style>
  <w:style w:type="paragraph" w:styleId="Heading3">
    <w:name w:val="heading 3"/>
    <w:basedOn w:val="Normal"/>
    <w:next w:val="Normal"/>
    <w:uiPriority w:val="9"/>
    <w:unhideWhenUsed/>
    <w:qFormat/>
    <w:pPr>
      <w:spacing w:before="120" w:after="160"/>
      <w:contextualSpacing/>
      <w:outlineLvl w:val="2"/>
    </w:pPr>
    <w:rPr>
      <w:b/>
      <w:i/>
      <w:color w:val="666666"/>
      <w:sz w:val="24"/>
    </w:rPr>
  </w:style>
  <w:style w:type="paragraph" w:styleId="Heading4">
    <w:name w:val="heading 4"/>
    <w:basedOn w:val="Normal"/>
    <w:next w:val="Normal"/>
    <w:uiPriority w:val="9"/>
    <w:unhideWhenUsed/>
    <w:qFormat/>
    <w:pPr>
      <w:spacing w:before="120" w:after="120"/>
      <w:contextualSpacing/>
      <w:outlineLvl w:val="3"/>
    </w:pPr>
    <w:rPr>
      <w:rFonts w:ascii="Palatino" w:eastAsia="Palatino" w:hAnsi="Palatino" w:cs="Palatino"/>
      <w:b/>
      <w:sz w:val="24"/>
    </w:rPr>
  </w:style>
  <w:style w:type="paragraph" w:styleId="Heading5">
    <w:name w:val="heading 5"/>
    <w:basedOn w:val="Normal"/>
    <w:next w:val="Normal"/>
    <w:uiPriority w:val="9"/>
    <w:unhideWhenUsed/>
    <w:qFormat/>
    <w:pPr>
      <w:spacing w:before="120" w:after="120"/>
      <w:contextualSpacing/>
      <w:outlineLvl w:val="4"/>
    </w:pPr>
    <w:rPr>
      <w:b/>
      <w:sz w:val="22"/>
    </w:rPr>
  </w:style>
  <w:style w:type="paragraph" w:styleId="Heading6">
    <w:name w:val="heading 6"/>
    <w:basedOn w:val="Normal"/>
    <w:next w:val="Normal"/>
    <w:uiPriority w:val="9"/>
    <w:semiHidden/>
    <w:unhideWhenUsed/>
    <w:qFormat/>
    <w:pPr>
      <w:spacing w:before="120" w:after="120"/>
      <w:contextualSpacing/>
      <w:outlineLvl w:val="5"/>
    </w:pPr>
    <w:rPr>
      <w:i/>
      <w:color w:val="666666"/>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val="0"/>
    </w:trPr>
  </w:style>
  <w:style w:type="numbering" w:default="1" w:styleId="NoList">
    <w:name w:val="No List"/>
    <w:uiPriority w:val="99"/>
    <w:semiHidden/>
    <w:unhideWhenUsed/>
  </w:style>
  <w:style w:type="paragraph" w:styleId="Title">
    <w:name w:val="Title"/>
    <w:basedOn w:val="Normal"/>
    <w:next w:val="Normal"/>
    <w:uiPriority w:val="10"/>
    <w:qFormat/>
    <w:pPr>
      <w:contextualSpacing/>
    </w:pPr>
    <w:rPr>
      <w:rFonts w:ascii="Palatino" w:eastAsia="Palatino" w:hAnsi="Palatino" w:cs="Palatino"/>
      <w:sz w:val="60"/>
    </w:rPr>
  </w:style>
  <w:style w:type="paragraph" w:styleId="Subtitle">
    <w:name w:val="Subtitle"/>
    <w:basedOn w:val="Normal"/>
    <w:next w:val="Normal"/>
    <w:uiPriority w:val="11"/>
    <w:qFormat/>
    <w:pPr>
      <w:spacing w:before="60"/>
      <w:contextualSpacing/>
    </w:pPr>
    <w:rPr>
      <w:sz w:val="28"/>
    </w:rPr>
  </w:style>
  <w:style w:type="paragraph" w:customStyle="1" w:styleId="defaultspeaker">
    <w:name w:val="default_speaker"/>
    <w:basedOn w:val="Normal"/>
    <w:next w:val="Normal"/>
    <w:pPr>
      <w:contextualSpacing/>
    </w:pPr>
    <w:rPr>
      <w:sz w:val="22"/>
    </w:rPr>
  </w:style>
  <w:style w:type="paragraph" w:customStyle="1" w:styleId="defaultparagraph">
    <w:name w:val="default_paragraph"/>
    <w:basedOn w:val="Normal"/>
    <w:next w:val="Normal"/>
    <w:pPr>
      <w:contextualSpacing/>
      <w:jc w:val="both"/>
    </w:pPr>
    <w:rPr>
      <w:sz w:val="22"/>
    </w:rPr>
  </w:style>
  <w:style w:type="table" w:customStyle="1" w:styleId="a">
    <w:basedOn w:val="TableNormal"/>
    <w:tblPr>
      <w:tblStyleRowBandSize w:val="1"/>
      <w:tblStyleColBandSize w:val="1"/>
    </w:tblPr>
    <w:trPr>
      <w:hidden w:val="0"/>
    </w:trPr>
  </w:style>
  <w:style w:type="paragraph" w:styleId="Header">
    <w:name w:val="header"/>
    <w:basedOn w:val="Normal"/>
    <w:link w:val="HeaderChar"/>
    <w:uiPriority w:val="99"/>
    <w:unhideWhenUsed/>
    <w:rsid w:val="007A5103"/>
    <w:pPr>
      <w:tabs>
        <w:tab w:val="center" w:pos="4513"/>
        <w:tab w:val="right" w:pos="9026"/>
      </w:tabs>
      <w:spacing w:line="240" w:lineRule="auto"/>
    </w:pPr>
  </w:style>
  <w:style w:type="character" w:customStyle="1" w:styleId="HeaderChar">
    <w:name w:val="Header Char"/>
    <w:basedOn w:val="DefaultParagraphFont"/>
    <w:link w:val="Header"/>
    <w:uiPriority w:val="99"/>
    <w:rsid w:val="007A5103"/>
  </w:style>
  <w:style w:type="paragraph" w:styleId="Footer">
    <w:name w:val="footer"/>
    <w:basedOn w:val="Normal"/>
    <w:link w:val="FooterChar"/>
    <w:uiPriority w:val="99"/>
    <w:unhideWhenUsed/>
    <w:rsid w:val="007A5103"/>
    <w:pPr>
      <w:tabs>
        <w:tab w:val="center" w:pos="4513"/>
        <w:tab w:val="right" w:pos="9026"/>
      </w:tabs>
      <w:spacing w:line="240" w:lineRule="auto"/>
    </w:pPr>
  </w:style>
  <w:style w:type="character" w:customStyle="1" w:styleId="FooterChar">
    <w:name w:val="Footer Char"/>
    <w:basedOn w:val="DefaultParagraphFont"/>
    <w:link w:val="Footer"/>
    <w:uiPriority w:val="99"/>
    <w:rsid w:val="007A5103"/>
  </w:style>
  <w:style w:type="paragraph" w:styleId="PlainText">
    <w:name w:val="Plain Text"/>
    <w:basedOn w:val="Normal"/>
    <w:link w:val="PlainTextChar"/>
    <w:uiPriority w:val="99"/>
    <w:unhideWhenUsed/>
    <w:rsid w:val="007A5103"/>
    <w:pPr>
      <w:spacing w:line="240" w:lineRule="auto"/>
    </w:pPr>
    <w:rPr>
      <w:rFonts w:ascii="Consolas" w:eastAsiaTheme="minorHAnsi" w:hAnsi="Consolas" w:cs="Consolas"/>
      <w:color w:val="auto"/>
      <w:kern w:val="2"/>
      <w:sz w:val="21"/>
      <w:szCs w:val="21"/>
      <w14:ligatures w14:val="standardContextual"/>
    </w:rPr>
  </w:style>
  <w:style w:type="character" w:customStyle="1" w:styleId="PlainTextChar">
    <w:name w:val="Plain Text Char"/>
    <w:basedOn w:val="DefaultParagraphFont"/>
    <w:link w:val="PlainText"/>
    <w:uiPriority w:val="99"/>
    <w:rsid w:val="007A5103"/>
    <w:rPr>
      <w:rFonts w:ascii="Consolas" w:eastAsiaTheme="minorHAnsi" w:hAnsi="Consolas" w:cs="Consolas"/>
      <w:color w:val="auto"/>
      <w:kern w:val="2"/>
      <w:sz w:val="21"/>
      <w:szCs w:val="21"/>
      <w14:ligatures w14:val="standardContextual"/>
    </w:rPr>
  </w:style>
  <w:style w:type="paragraph" w:customStyle="1" w:styleId="P68B1DB1-PlainText1">
    <w:name w:val="P68B1DB1-PlainText1"/>
    <w:basedOn w:val="PlainText"/>
    <w:rPr>
      <w:rFonts w:ascii="Courier New" w:hAnsi="Courier New" w:cs="Courier New"/>
      <w:vanish/>
    </w:rPr>
  </w:style>
  <w:style w:type="paragraph" w:customStyle="1" w:styleId="P68B1DB1-PlainText2">
    <w:name w:val="P68B1DB1-PlainText2"/>
    <w:basedOn w:val="PlainText"/>
    <w:rPr>
      <w:rFonts w:ascii="Courier New" w:hAnsi="Courier New" w:cs="Courier New"/>
    </w:rPr>
  </w:style>
  <w:style w:type="paragraph" w:customStyle="1" w:styleId="P68B1DB1-defaultparagraph3">
    <w:name w:val="P68B1DB1-defaultparagraph3"/>
    <w:basedOn w:val="defaultparagraph"/>
    <w:rPr>
      <w:rFonts w:ascii="Courier New" w:hAnsi="Courier New" w:cs="Courier New"/>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10</TotalTime>
  <Pages>3</Pages>
  <Words>839</Words>
  <Characters>4334</Characters>
  <Application>Microsoft Office Word</Application>
  <DocSecurity>0</DocSecurity>
  <Lines>100</Lines>
  <Paragraphs>19</Paragraphs>
  <ScaleCrop>false</ScaleCrop>
  <HeadingPairs>
    <vt:vector size="2" baseType="variant">
      <vt:variant>
        <vt:lpstr>Title</vt:lpstr>
      </vt:variant>
      <vt:variant>
        <vt:i4>1</vt:i4>
      </vt:variant>
    </vt:vector>
  </HeadingPairs>
  <TitlesOfParts>
    <vt:vector size="1" baseType="lpstr">
      <vt:lpstr>Symptoms .mp4</vt:lpstr>
    </vt:vector>
  </TitlesOfParts>
  <Company/>
  <LinksUpToDate>false</LinksUpToDate>
  <CharactersWithSpaces>5154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Symptoms .mp4</dc:title>
  <cp:lastModifiedBy>Julie Fry</cp:lastModifiedBy>
  <cp:revision>10</cp:revision>
  <dcterms:created xsi:type="dcterms:W3CDTF">2025-09-26T15:34:00Z</dcterms:created>
  <dcterms:modified xsi:type="dcterms:W3CDTF">2025-10-02T10:11:00Z</dcterms:modified>
</cp:coreProperties>
</file>